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85" w:rsidRDefault="00EB78F4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u w:color="000000"/>
        </w:rPr>
        <w:drawing>
          <wp:anchor distT="57150" distB="57150" distL="57150" distR="57150" simplePos="0" relativeHeight="2" behindDoc="0" locked="0" layoutInCell="1" allowOverlap="1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F85" w:rsidRDefault="00EB78F4">
      <w:pPr>
        <w:pStyle w:val="Nadpis1"/>
        <w:spacing w:before="0" w:after="0" w:line="240" w:lineRule="auto"/>
        <w:rPr>
          <w:rFonts w:ascii="Arial Black" w:hAnsi="Arial Black"/>
          <w:color w:val="auto"/>
          <w:sz w:val="26"/>
          <w:szCs w:val="26"/>
        </w:rPr>
      </w:pPr>
      <w:r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Vlněná elegance první republiky: nová výstava představí unikátní vzorníky brněnských textilek </w:t>
      </w:r>
    </w:p>
    <w:p w:rsidR="00062F85" w:rsidRDefault="00EB78F4">
      <w:pPr>
        <w:pStyle w:val="Nadpis1"/>
      </w:pPr>
      <w:r>
        <w:rPr>
          <w:rFonts w:ascii="Arial" w:hAnsi="Arial" w:cs="Arial"/>
          <w:b w:val="0"/>
          <w:color w:val="auto"/>
          <w:sz w:val="22"/>
          <w:szCs w:val="22"/>
        </w:rPr>
        <w:t>Hluk ozývající se z tkalcove</w:t>
      </w:r>
      <w:r w:rsidR="00E905D3">
        <w:rPr>
          <w:rFonts w:ascii="Arial" w:hAnsi="Arial" w:cs="Arial"/>
          <w:b w:val="0"/>
          <w:color w:val="auto"/>
          <w:sz w:val="22"/>
          <w:szCs w:val="22"/>
        </w:rPr>
        <w:t>n, tovární areály a jejich komínky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a práce t</w:t>
      </w:r>
      <w:r w:rsidRPr="005701FF">
        <w:rPr>
          <w:rFonts w:ascii="Arial" w:hAnsi="Arial" w:cs="Arial"/>
          <w:b w:val="0"/>
          <w:color w:val="auto"/>
          <w:sz w:val="22"/>
          <w:szCs w:val="22"/>
        </w:rPr>
        <w:t>isí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ců dělníků – i tak vypadalo Brno v průběhu 19. století, kdy se stalo skutečnou vlnařskou velmocí, euforicky přezdívanou moravský Manchester. Jak se proslavily české tkaniny v zahraničí a kdo stál za jejich designem? I na tyto otázky odpoví nová </w:t>
      </w:r>
      <w:hyperlink r:id="rId9" w:history="1">
        <w:r w:rsidRPr="00CC74E2">
          <w:rPr>
            <w:rStyle w:val="Hypertextovodkaz"/>
            <w:rFonts w:ascii="Arial" w:hAnsi="Arial" w:cs="Arial"/>
            <w:b w:val="0"/>
            <w:sz w:val="22"/>
            <w:szCs w:val="22"/>
          </w:rPr>
          <w:t>výstava v Technickém muzeu v Brně – Vlněná elegance první republiky</w:t>
        </w:r>
      </w:hyperlink>
      <w:r>
        <w:rPr>
          <w:rFonts w:ascii="Arial" w:hAnsi="Arial" w:cs="Arial"/>
          <w:b w:val="0"/>
          <w:color w:val="auto"/>
          <w:sz w:val="22"/>
          <w:szCs w:val="22"/>
        </w:rPr>
        <w:t>. Výstava představí unikátní sbírky textilních vzorníků, poprvé tak bude mít návštěvník možnost nahlédnout do kompletního sortimentu nejslavnějších textilek, které proměnily Brno v sebevědomé vlnařské centrum. „Naším cílem je představit veřejnosti výsledky dlouholetého průzkumu a konzervátorských prací, jejichž zásluhou se nám podařilo obnovit více než dvě stě originálních textilních vzorníků, spjat</w:t>
      </w:r>
      <w:r w:rsidRPr="005701FF">
        <w:rPr>
          <w:rFonts w:ascii="Arial" w:hAnsi="Arial" w:cs="Arial"/>
          <w:b w:val="0"/>
          <w:color w:val="auto"/>
          <w:sz w:val="22"/>
          <w:szCs w:val="22"/>
        </w:rPr>
        <w:t>ých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s nejslavnějšími firmami jako Br.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Stiassni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L</w:t>
      </w:r>
      <w:r>
        <w:rPr>
          <w:rStyle w:val="Zdraznn"/>
          <w:rFonts w:ascii="Arial" w:hAnsi="Arial" w:cs="Arial"/>
          <w:b w:val="0"/>
          <w:i w:val="0"/>
          <w:color w:val="auto"/>
          <w:sz w:val="22"/>
          <w:szCs w:val="22"/>
        </w:rPr>
        <w:t>ö</w:t>
      </w:r>
      <w:r>
        <w:rPr>
          <w:rFonts w:ascii="Arial" w:hAnsi="Arial" w:cs="Arial"/>
          <w:b w:val="0"/>
          <w:color w:val="auto"/>
          <w:sz w:val="22"/>
          <w:szCs w:val="22"/>
        </w:rPr>
        <w:t>w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-Beer, Paul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Neumark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, Fr.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Redlich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a další. Právě ve vzornících je uloženo to, co jasně dokládá a ilustruje úroveň a schopnosti textilního průmyslu v Brně a v okolí,“ přibližuje kurátorka Petra Mertová. </w:t>
      </w:r>
    </w:p>
    <w:p w:rsidR="00062F85" w:rsidRDefault="00EB78F4">
      <w:pPr>
        <w:spacing w:line="276" w:lineRule="auto"/>
      </w:pPr>
      <w:r>
        <w:rPr>
          <w:rFonts w:ascii="Arial" w:hAnsi="Arial" w:cs="Arial"/>
          <w:color w:val="auto"/>
          <w:sz w:val="22"/>
          <w:szCs w:val="22"/>
        </w:rPr>
        <w:t>Vlnařské tkaniny patřily mezi exkluzivní zboží</w:t>
      </w:r>
      <w:r w:rsidR="005701FF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K jejich výjimečnosti a vysoké ceně přispěl komplikovaný výrobní proces od výtvarného návrhu přes technické zadání až po moment, kdy se objevily v propagačních vzornících.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„Chceme lidem přiblížit nejen vizuální stránku tehdejší textilní výroby, ale i technologické postupy a dnes již méně známé povolání textilního desinatéra. 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Tovární </w:t>
      </w:r>
      <w:proofErr w:type="spellStart"/>
      <w:r>
        <w:rPr>
          <w:rFonts w:ascii="Arial" w:eastAsia="Arial Unicode MS" w:hAnsi="Arial" w:cs="Arial"/>
          <w:color w:val="auto"/>
          <w:sz w:val="22"/>
          <w:szCs w:val="22"/>
        </w:rPr>
        <w:t>desinatura</w:t>
      </w:r>
      <w:proofErr w:type="spellEnd"/>
      <w:r>
        <w:rPr>
          <w:rFonts w:ascii="Arial" w:eastAsia="Arial Unicode MS" w:hAnsi="Arial" w:cs="Arial"/>
          <w:color w:val="auto"/>
          <w:sz w:val="22"/>
          <w:szCs w:val="22"/>
        </w:rPr>
        <w:t xml:space="preserve"> byla klíčová pro ekonomický úspěch a </w:t>
      </w:r>
      <w:r w:rsidRPr="005701FF">
        <w:rPr>
          <w:rFonts w:ascii="Arial" w:eastAsia="Arial Unicode MS" w:hAnsi="Arial" w:cs="Arial"/>
          <w:color w:val="auto"/>
          <w:sz w:val="22"/>
          <w:szCs w:val="22"/>
        </w:rPr>
        <w:t xml:space="preserve">její práce 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začínala mnoho měsíců před prodejem tkanin. </w:t>
      </w:r>
      <w:r>
        <w:rPr>
          <w:rFonts w:ascii="Arial" w:hAnsi="Arial" w:cs="Arial"/>
          <w:color w:val="auto"/>
          <w:sz w:val="22"/>
          <w:szCs w:val="22"/>
        </w:rPr>
        <w:t xml:space="preserve">Právě desinatéři, jakožto textilní výtvarníci, byli zodpovědní za </w:t>
      </w:r>
      <w:r w:rsidRPr="005701FF">
        <w:rPr>
          <w:rFonts w:ascii="Arial" w:hAnsi="Arial" w:cs="Arial"/>
          <w:color w:val="auto"/>
          <w:sz w:val="22"/>
          <w:szCs w:val="22"/>
        </w:rPr>
        <w:t>podobu</w:t>
      </w:r>
      <w:r>
        <w:rPr>
          <w:rFonts w:ascii="Arial" w:hAnsi="Arial" w:cs="Arial"/>
          <w:color w:val="auto"/>
          <w:sz w:val="22"/>
          <w:szCs w:val="22"/>
        </w:rPr>
        <w:t xml:space="preserve"> aktuální sezóny, sledovali trendy nejuznávanějších módních salonů, do jejichž oděvů se oblékaly hvězdy stříbrného plátna.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color w:val="auto"/>
          <w:sz w:val="22"/>
          <w:szCs w:val="22"/>
        </w:rPr>
        <w:t>V tom jim pomáhali zahraniční korespondenti či vlastní obchodní zástupci. Často také zasílali vzorky tkanin získané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eastAsia="Arial Unicode MS" w:hAnsi="Arial" w:cs="Arial"/>
          <w:color w:val="auto"/>
          <w:sz w:val="22"/>
          <w:szCs w:val="22"/>
        </w:rPr>
        <w:t xml:space="preserve">egální či nelegální cestou spolu s informacemi o jejich ceně,“ pokračuje Petra Mertová z Technického muzea v Brně.  </w:t>
      </w:r>
    </w:p>
    <w:p w:rsidR="00062F85" w:rsidRDefault="00EB78F4">
      <w:pPr>
        <w:spacing w:line="276" w:lineRule="auto"/>
        <w:rPr>
          <w:rFonts w:ascii="Arial" w:eastAsia="Arial Unicode MS" w:hAnsi="Arial" w:cs="Arial"/>
          <w:color w:val="auto"/>
          <w:sz w:val="22"/>
          <w:szCs w:val="22"/>
        </w:rPr>
      </w:pPr>
      <w:r>
        <w:rPr>
          <w:rFonts w:ascii="Arial" w:eastAsia="Arial Unicode MS" w:hAnsi="Arial" w:cs="Arial"/>
          <w:color w:val="auto"/>
          <w:sz w:val="22"/>
          <w:szCs w:val="22"/>
        </w:rPr>
        <w:t xml:space="preserve"> </w:t>
      </w:r>
    </w:p>
    <w:p w:rsidR="00062F85" w:rsidRDefault="00EB78F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Část výstavy patří i speciálnímu textilnímu slovníku – návštěvníci se setkají se skutečně autentickými názvy jako například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gebardén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fresko,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glenček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ale dozví se také, jak vznikla pojmenování pro dnes už běžně známé typy </w:t>
      </w:r>
      <w:r w:rsidR="005701FF">
        <w:rPr>
          <w:rFonts w:ascii="Arial" w:hAnsi="Arial" w:cs="Arial"/>
          <w:color w:val="auto"/>
          <w:sz w:val="22"/>
          <w:szCs w:val="22"/>
        </w:rPr>
        <w:t xml:space="preserve">tkanin jako například „tweed“. </w:t>
      </w:r>
      <w:r w:rsidRPr="005701FF">
        <w:rPr>
          <w:rFonts w:ascii="Arial" w:hAnsi="Arial" w:cs="Arial"/>
          <w:color w:val="auto"/>
          <w:sz w:val="22"/>
          <w:szCs w:val="22"/>
        </w:rPr>
        <w:t xml:space="preserve">Výstava také připomíná problém mezi salonní a konfekční tvorbou, která se stávala více a více oblíbenou cestou k získání módního oděvu. </w:t>
      </w:r>
      <w:r>
        <w:rPr>
          <w:rFonts w:ascii="Arial" w:hAnsi="Arial" w:cs="Arial"/>
          <w:color w:val="auto"/>
          <w:sz w:val="22"/>
          <w:szCs w:val="22"/>
        </w:rPr>
        <w:t>Na improvizovaném mol</w:t>
      </w:r>
      <w:r w:rsidRPr="005701FF">
        <w:rPr>
          <w:rFonts w:ascii="Arial" w:hAnsi="Arial" w:cs="Arial"/>
          <w:color w:val="auto"/>
          <w:sz w:val="22"/>
          <w:szCs w:val="22"/>
        </w:rPr>
        <w:t xml:space="preserve">u návštěvníci </w:t>
      </w:r>
      <w:r w:rsidR="005701FF">
        <w:rPr>
          <w:rFonts w:ascii="Arial" w:hAnsi="Arial" w:cs="Arial"/>
          <w:color w:val="auto"/>
          <w:sz w:val="22"/>
          <w:szCs w:val="22"/>
        </w:rPr>
        <w:t>uvidí originální</w:t>
      </w:r>
      <w:r w:rsidR="004D33A7">
        <w:rPr>
          <w:rFonts w:ascii="Arial" w:hAnsi="Arial" w:cs="Arial"/>
          <w:color w:val="auto"/>
          <w:sz w:val="22"/>
          <w:szCs w:val="22"/>
        </w:rPr>
        <w:t xml:space="preserve"> dobové</w:t>
      </w:r>
      <w:r w:rsidR="005701FF">
        <w:rPr>
          <w:rFonts w:ascii="Arial" w:hAnsi="Arial" w:cs="Arial"/>
          <w:color w:val="auto"/>
          <w:sz w:val="22"/>
          <w:szCs w:val="22"/>
        </w:rPr>
        <w:t xml:space="preserve"> oděvy – </w:t>
      </w:r>
      <w:r w:rsidR="005701FF" w:rsidRPr="005701FF">
        <w:rPr>
          <w:rFonts w:ascii="Arial" w:hAnsi="Arial" w:cs="Arial"/>
          <w:color w:val="auto"/>
          <w:sz w:val="22"/>
          <w:szCs w:val="22"/>
        </w:rPr>
        <w:t>m</w:t>
      </w:r>
      <w:r w:rsidRPr="005701FF">
        <w:rPr>
          <w:rFonts w:ascii="Arial" w:hAnsi="Arial" w:cs="Arial"/>
          <w:color w:val="auto"/>
          <w:sz w:val="22"/>
          <w:szCs w:val="22"/>
        </w:rPr>
        <w:t xml:space="preserve">ezi nimi je zvláštní místo věnováno šatníku Prof. Ing. Dr. </w:t>
      </w:r>
      <w:proofErr w:type="spellStart"/>
      <w:r w:rsidR="004D33A7">
        <w:rPr>
          <w:rFonts w:ascii="Arial" w:hAnsi="Arial" w:cs="Arial"/>
          <w:color w:val="auto"/>
          <w:sz w:val="22"/>
          <w:szCs w:val="22"/>
        </w:rPr>
        <w:t>tech</w:t>
      </w:r>
      <w:proofErr w:type="spellEnd"/>
      <w:r w:rsidR="004D33A7">
        <w:rPr>
          <w:rFonts w:ascii="Arial" w:hAnsi="Arial" w:cs="Arial"/>
          <w:color w:val="auto"/>
          <w:sz w:val="22"/>
          <w:szCs w:val="22"/>
        </w:rPr>
        <w:t xml:space="preserve">. Rudolfa </w:t>
      </w:r>
      <w:proofErr w:type="spellStart"/>
      <w:r w:rsidR="004D33A7">
        <w:rPr>
          <w:rFonts w:ascii="Arial" w:hAnsi="Arial" w:cs="Arial"/>
          <w:color w:val="auto"/>
          <w:sz w:val="22"/>
          <w:szCs w:val="22"/>
        </w:rPr>
        <w:t>Spaziera</w:t>
      </w:r>
      <w:proofErr w:type="spellEnd"/>
      <w:r w:rsidR="004D33A7">
        <w:rPr>
          <w:rFonts w:ascii="Arial" w:hAnsi="Arial" w:cs="Arial"/>
          <w:color w:val="auto"/>
          <w:sz w:val="22"/>
          <w:szCs w:val="22"/>
        </w:rPr>
        <w:t>, starostu</w:t>
      </w:r>
      <w:r w:rsidRPr="005701FF">
        <w:rPr>
          <w:rFonts w:ascii="Arial" w:hAnsi="Arial" w:cs="Arial"/>
          <w:color w:val="auto"/>
          <w:sz w:val="22"/>
          <w:szCs w:val="22"/>
        </w:rPr>
        <w:t xml:space="preserve"> Brna v době, kdy město obsadila </w:t>
      </w:r>
      <w:r w:rsidR="005701FF" w:rsidRPr="005701FF">
        <w:rPr>
          <w:rFonts w:ascii="Arial" w:hAnsi="Arial" w:cs="Arial"/>
          <w:color w:val="auto"/>
          <w:sz w:val="22"/>
          <w:szCs w:val="22"/>
        </w:rPr>
        <w:t xml:space="preserve">vojska nacistického Německa.  </w:t>
      </w:r>
    </w:p>
    <w:p w:rsidR="00062F85" w:rsidRDefault="00062F8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065B6" w:rsidRDefault="00CC74E2">
      <w:pPr>
        <w:pStyle w:val="Bezmezer"/>
        <w:tabs>
          <w:tab w:val="left" w:pos="8592"/>
        </w:tabs>
        <w:spacing w:line="240" w:lineRule="auto"/>
        <w:jc w:val="both"/>
      </w:pPr>
      <w:r>
        <w:rPr>
          <w:rFonts w:ascii="Arial" w:hAnsi="Arial" w:cs="Arial"/>
          <w:bCs/>
        </w:rPr>
        <w:t xml:space="preserve">Výstava Vlněná elegance první republiky potrvá v Technickém muzeu v Brně do 27. 6. 2021. </w:t>
      </w:r>
    </w:p>
    <w:p w:rsidR="00062F85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 xml:space="preserve">Kontakt pro média: </w:t>
      </w:r>
    </w:p>
    <w:p w:rsidR="00062F85" w:rsidRDefault="00EB78F4">
      <w:pPr>
        <w:pStyle w:val="Bezmezer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Petra Mertová |  kurátorka výstavy </w:t>
      </w:r>
    </w:p>
    <w:p w:rsidR="00062F85" w:rsidRPr="005701FF" w:rsidRDefault="00EB78F4">
      <w:pPr>
        <w:pStyle w:val="Bezmezer"/>
        <w:spacing w:line="240" w:lineRule="auto"/>
        <w:rPr>
          <w:rFonts w:ascii="Arial" w:hAnsi="Arial"/>
        </w:rPr>
      </w:pPr>
      <w:r>
        <w:rPr>
          <w:rStyle w:val="Siln"/>
          <w:rFonts w:ascii="Arial" w:hAnsi="Arial" w:cs="Arial"/>
          <w:b w:val="0"/>
        </w:rPr>
        <w:t>mertova@tmbrno.cz</w:t>
      </w:r>
      <w:r>
        <w:rPr>
          <w:rFonts w:ascii="Arial" w:hAnsi="Arial"/>
        </w:rPr>
        <w:t xml:space="preserve"> | 775 850 646   </w:t>
      </w:r>
    </w:p>
    <w:sectPr w:rsidR="00062F85" w:rsidRPr="005701FF">
      <w:headerReference w:type="default" r:id="rId10"/>
      <w:footerReference w:type="default" r:id="rId11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8E" w:rsidRDefault="00537A8E">
      <w:r>
        <w:separator/>
      </w:r>
    </w:p>
  </w:endnote>
  <w:endnote w:type="continuationSeparator" w:id="0">
    <w:p w:rsidR="00537A8E" w:rsidRDefault="0053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8E" w:rsidRDefault="00537A8E">
      <w:r>
        <w:separator/>
      </w:r>
    </w:p>
  </w:footnote>
  <w:footnote w:type="continuationSeparator" w:id="0">
    <w:p w:rsidR="00537A8E" w:rsidRDefault="0053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062F85" w:rsidRDefault="00A8466E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3. 12</w:t>
    </w:r>
    <w:r w:rsidR="00EB78F4">
      <w:rPr>
        <w:rFonts w:ascii="Arial" w:hAnsi="Arial"/>
        <w:b w:val="0"/>
        <w:bCs w:val="0"/>
        <w:color w:val="404040"/>
        <w:sz w:val="20"/>
        <w:szCs w:val="20"/>
        <w:u w:color="404040"/>
      </w:rPr>
      <w:t>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62F85"/>
    <w:rsid w:val="000E34BF"/>
    <w:rsid w:val="00126475"/>
    <w:rsid w:val="004D33A7"/>
    <w:rsid w:val="005065B6"/>
    <w:rsid w:val="00537A8E"/>
    <w:rsid w:val="005523BC"/>
    <w:rsid w:val="005701FF"/>
    <w:rsid w:val="007904E3"/>
    <w:rsid w:val="007B3ED3"/>
    <w:rsid w:val="00801091"/>
    <w:rsid w:val="00816D0C"/>
    <w:rsid w:val="00A8466E"/>
    <w:rsid w:val="00AC2124"/>
    <w:rsid w:val="00C532FA"/>
    <w:rsid w:val="00CC74E2"/>
    <w:rsid w:val="00D30FD7"/>
    <w:rsid w:val="00E851C6"/>
    <w:rsid w:val="00E905D3"/>
    <w:rsid w:val="00EB78F4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C7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C7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mbrno.cz/akce/vlnena-elegance-prvni-republiky-vystav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6DBF-0353-4650-A19A-A835BD29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3</cp:revision>
  <cp:lastPrinted>2020-12-03T13:11:00Z</cp:lastPrinted>
  <dcterms:created xsi:type="dcterms:W3CDTF">2020-12-03T13:10:00Z</dcterms:created>
  <dcterms:modified xsi:type="dcterms:W3CDTF">2020-12-03T13:12:00Z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